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color w:val="0000FF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/>
          <w:b/>
          <w:color w:val="0000FF"/>
          <w:sz w:val="30"/>
          <w:szCs w:val="30"/>
        </w:rPr>
        <w:t>《 现场精细化管理实战 》</w:t>
      </w:r>
    </w:p>
    <w:p>
      <w:pPr>
        <w:widowControl/>
        <w:tabs>
          <w:tab w:val="center" w:pos="5040"/>
        </w:tabs>
        <w:adjustRightInd w:val="0"/>
        <w:snapToGrid w:val="0"/>
        <w:spacing w:line="340" w:lineRule="exact"/>
        <w:jc w:val="left"/>
        <w:rPr>
          <w:rFonts w:hint="eastAsia" w:ascii="宋体" w:hAnsi="宋体"/>
          <w:color w:val="000000"/>
        </w:rPr>
      </w:pPr>
    </w:p>
    <w:p>
      <w:pPr>
        <w:spacing w:line="440" w:lineRule="exact"/>
        <w:rPr>
          <w:rFonts w:hint="eastAsia" w:ascii="宋体" w:hAnsi="宋体"/>
          <w:b/>
          <w:color w:val="0000FF"/>
          <w:sz w:val="24"/>
        </w:rPr>
      </w:pPr>
      <w:r>
        <w:rPr>
          <w:rFonts w:hint="eastAsia" w:ascii="宋体" w:hAnsi="宋体"/>
          <w:b/>
          <w:color w:val="0000FF"/>
          <w:sz w:val="24"/>
        </w:rPr>
        <w:t>一、课程背景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现场是企业管理的主战场，它是企业价值转换的重要场所，同时又是所有问题的集结地，现场管理的水平直接反映出一个企业经营管理的总体水平，是企业的“名片”。但在现实中很多企业只看重市场开拓，只关心产量并且奉行“出货第一”的理念，而不重视现场管理。</w:t>
      </w:r>
    </w:p>
    <w:p>
      <w:pPr>
        <w:spacing w:line="440" w:lineRule="exact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经过三十年的改革开放，中国企业取得了飞速发展，在当前形势下传统的粗放式管理方式已经不能满足企业发展的需求，要在新形势下获得更大的发展，摆在广大企业经营管理者面前的只有一条路：实施企业精细化管理，而现场精细化管理是企业精细化管理的最佳切入点，也是最基本的要求。</w:t>
      </w:r>
    </w:p>
    <w:p>
      <w:pPr>
        <w:spacing w:line="440" w:lineRule="exact"/>
        <w:ind w:firstLine="420" w:firstLineChars="200"/>
        <w:rPr>
          <w:rFonts w:hint="eastAsia" w:ascii="宋体" w:hAnsi="宋体"/>
          <w:szCs w:val="21"/>
        </w:rPr>
      </w:pPr>
    </w:p>
    <w:p>
      <w:pPr>
        <w:spacing w:line="440" w:lineRule="exact"/>
        <w:rPr>
          <w:rFonts w:hint="eastAsia" w:ascii="宋体" w:hAnsi="宋体"/>
          <w:b/>
          <w:color w:val="0000FF"/>
          <w:sz w:val="24"/>
        </w:rPr>
      </w:pPr>
      <w:r>
        <w:rPr>
          <w:rFonts w:hint="eastAsia" w:ascii="宋体" w:hAnsi="宋体"/>
          <w:b/>
          <w:color w:val="0000FF"/>
          <w:sz w:val="24"/>
        </w:rPr>
        <w:t>二、课程目的</w:t>
      </w:r>
    </w:p>
    <w:p>
      <w:pPr>
        <w:spacing w:line="440" w:lineRule="exact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本课程以企业现场推进精细化管理为基础，向您全方位阐术精细化管理推行的全貌，以及现场管理“三大工具”的有效应用。本课程遵循实用性原则，大量采用项目推进实例互动、图片案例解析等多种教学手段，通过本课程的学习学员能够：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1、明确现场管理的目的和意义，树立正确的现场管理的理念；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2、清楚地了解现场管理的起点、基础及其改善与提升的方向；</w:t>
      </w:r>
    </w:p>
    <w:p>
      <w:pPr>
        <w:spacing w:line="440" w:lineRule="exact"/>
        <w:ind w:firstLine="21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3、掌握现场精细化管理各种工具的有效应用，全面提升现场管理水平。</w:t>
      </w:r>
    </w:p>
    <w:p>
      <w:pPr>
        <w:spacing w:line="440" w:lineRule="exact"/>
        <w:ind w:firstLine="210"/>
        <w:rPr>
          <w:rFonts w:hint="eastAsia" w:ascii="宋体" w:hAnsi="宋体"/>
          <w:szCs w:val="21"/>
        </w:rPr>
      </w:pPr>
    </w:p>
    <w:p>
      <w:pPr>
        <w:spacing w:line="440" w:lineRule="exact"/>
        <w:rPr>
          <w:rFonts w:hint="eastAsia" w:ascii="宋体" w:hAnsi="宋体"/>
          <w:b/>
          <w:color w:val="0000FF"/>
          <w:sz w:val="28"/>
          <w:szCs w:val="28"/>
        </w:rPr>
      </w:pPr>
      <w:r>
        <w:rPr>
          <w:rFonts w:hint="eastAsia" w:ascii="宋体" w:hAnsi="宋体"/>
          <w:b/>
          <w:color w:val="0000FF"/>
          <w:sz w:val="28"/>
          <w:szCs w:val="28"/>
        </w:rPr>
        <w:t>三、课程大纲</w:t>
      </w:r>
      <w:r>
        <w:rPr>
          <w:rFonts w:hint="eastAsia" w:ascii="宋体" w:hAnsi="宋体"/>
          <w:b/>
          <w:color w:val="0000FF"/>
          <w:szCs w:val="21"/>
        </w:rPr>
        <w:t>（2天，12小时）</w:t>
      </w:r>
    </w:p>
    <w:p>
      <w:pPr>
        <w:spacing w:line="440" w:lineRule="exact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第一部分：精细化管理</w:t>
      </w:r>
      <w:r>
        <w:rPr>
          <w:rFonts w:ascii="宋体" w:hAnsi="宋体"/>
          <w:b/>
          <w:szCs w:val="21"/>
        </w:rPr>
        <w:t>—</w:t>
      </w:r>
      <w:r>
        <w:rPr>
          <w:rFonts w:hint="eastAsia" w:ascii="宋体" w:hAnsi="宋体"/>
          <w:b/>
          <w:szCs w:val="21"/>
        </w:rPr>
        <w:t>中国企业发展的希望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引言：把一个简单的招式练到了极致就成了威力无穷的绝招</w:t>
      </w:r>
    </w:p>
    <w:p>
      <w:pPr>
        <w:numPr>
          <w:ilvl w:val="0"/>
          <w:numId w:val="1"/>
        </w:num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改革开放30年后的中国企业发展现状回望</w:t>
      </w:r>
    </w:p>
    <w:p>
      <w:pPr>
        <w:numPr>
          <w:ilvl w:val="0"/>
          <w:numId w:val="1"/>
        </w:num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中国百强企业真的“强”吗？</w:t>
      </w:r>
    </w:p>
    <w:p>
      <w:pPr>
        <w:numPr>
          <w:ilvl w:val="0"/>
          <w:numId w:val="1"/>
        </w:num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我们与国外发达国家的差距在哪里？</w:t>
      </w:r>
    </w:p>
    <w:p>
      <w:pPr>
        <w:numPr>
          <w:ilvl w:val="0"/>
          <w:numId w:val="1"/>
        </w:num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精细化管理----中国企业发展的未来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◆ 优秀企业生产现场视频赏析---德国宝马生产现场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5、</w:t>
      </w:r>
      <w:r>
        <w:rPr>
          <w:rFonts w:hint="eastAsia"/>
        </w:rPr>
        <w:t>现场精细化管理的使命</w:t>
      </w:r>
    </w:p>
    <w:p>
      <w:pPr>
        <w:spacing w:line="440" w:lineRule="exact"/>
        <w:ind w:right="525"/>
        <w:rPr>
          <w:rFonts w:hint="eastAsia" w:ascii="宋体" w:hAnsi="宋体"/>
        </w:rPr>
      </w:pPr>
      <w:r>
        <w:rPr>
          <w:rFonts w:hint="eastAsia" w:ascii="宋体" w:hAnsi="宋体"/>
        </w:rPr>
        <w:t>6、现场精细化管理的五大要素</w:t>
      </w:r>
    </w:p>
    <w:p>
      <w:pPr>
        <w:spacing w:line="440" w:lineRule="exact"/>
        <w:ind w:right="525"/>
        <w:rPr>
          <w:rFonts w:hint="eastAsia"/>
        </w:rPr>
      </w:pPr>
      <w:r>
        <w:rPr>
          <w:rFonts w:hint="eastAsia"/>
        </w:rPr>
        <w:t>7、现场精细化管理的俩大基本理念</w:t>
      </w:r>
    </w:p>
    <w:p>
      <w:pPr>
        <w:spacing w:line="440" w:lineRule="exact"/>
        <w:ind w:right="525"/>
        <w:rPr>
          <w:rFonts w:hint="eastAsia"/>
        </w:rPr>
      </w:pPr>
      <w:r>
        <w:rPr>
          <w:rFonts w:hint="eastAsia"/>
        </w:rPr>
        <w:t>8、</w:t>
      </w:r>
      <w:r>
        <w:rPr>
          <w:rFonts w:hint="eastAsia" w:ascii="宋体" w:hAnsi="宋体"/>
          <w:szCs w:val="21"/>
        </w:rPr>
        <w:t>现场精细化管理的基本内容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9、优秀现场的衡量标准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◆ 案例：优秀现场管理图片赏析</w:t>
      </w:r>
    </w:p>
    <w:p>
      <w:pPr>
        <w:spacing w:line="440" w:lineRule="exact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第二部分：现场精细化管理的基本方法</w:t>
      </w:r>
    </w:p>
    <w:p>
      <w:pPr>
        <w:numPr>
          <w:ilvl w:val="0"/>
          <w:numId w:val="2"/>
        </w:num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三直三现主义</w:t>
      </w:r>
    </w:p>
    <w:p>
      <w:pPr>
        <w:numPr>
          <w:ilvl w:val="0"/>
          <w:numId w:val="2"/>
        </w:num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如何擅用PDCA改善循环法</w:t>
      </w:r>
    </w:p>
    <w:p>
      <w:pPr>
        <w:numPr>
          <w:ilvl w:val="0"/>
          <w:numId w:val="2"/>
        </w:num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零缺陷管理</w:t>
      </w:r>
    </w:p>
    <w:p>
      <w:pPr>
        <w:numPr>
          <w:ilvl w:val="0"/>
          <w:numId w:val="2"/>
        </w:num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可视化管理</w:t>
      </w:r>
    </w:p>
    <w:p>
      <w:pPr>
        <w:numPr>
          <w:ilvl w:val="0"/>
          <w:numId w:val="2"/>
        </w:num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现场巡查法</w:t>
      </w:r>
    </w:p>
    <w:p>
      <w:pPr>
        <w:numPr>
          <w:ilvl w:val="0"/>
          <w:numId w:val="2"/>
        </w:num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工作汇报法</w:t>
      </w:r>
    </w:p>
    <w:p>
      <w:pPr>
        <w:numPr>
          <w:ilvl w:val="0"/>
          <w:numId w:val="2"/>
        </w:num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会议分析法</w:t>
      </w:r>
    </w:p>
    <w:p>
      <w:pPr>
        <w:spacing w:line="440" w:lineRule="exact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第三部分：现场精细化管理的基础</w:t>
      </w:r>
      <w:r>
        <w:rPr>
          <w:rFonts w:ascii="宋体" w:hAnsi="宋体"/>
          <w:b/>
          <w:szCs w:val="21"/>
        </w:rPr>
        <w:t>—</w:t>
      </w:r>
      <w:r>
        <w:rPr>
          <w:rFonts w:hint="eastAsia" w:ascii="宋体" w:hAnsi="宋体"/>
          <w:b/>
          <w:szCs w:val="21"/>
        </w:rPr>
        <w:t>5S管理的实施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1、整理的含义及目的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2、整理推进3重点及实施步骤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3、整理实施的方法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◆ 案例：车间工具柜的整理</w:t>
      </w:r>
    </w:p>
    <w:p>
      <w:pPr>
        <w:spacing w:line="440" w:lineRule="exact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szCs w:val="21"/>
        </w:rPr>
        <w:t>4、整顿关键原则：一切为了效率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5、整顿推进的3重点及步骤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6、整顿实施方法简介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◆ 案例：车间工作现场的整顿</w:t>
      </w:r>
    </w:p>
    <w:p>
      <w:pPr>
        <w:spacing w:line="440" w:lineRule="exact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szCs w:val="21"/>
        </w:rPr>
        <w:t>7、高效设备来自清扫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8、清扫推进的4重点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9、清洁推进的重点及如何实施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10、5S管理标准化清单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◆ 案例赏析：团队精神是怎样形成的？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11、人造环境，环境育人---素养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12、如何提高员工素养？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◆ 案例分享：知名企业的5S管理成功案例</w:t>
      </w:r>
    </w:p>
    <w:p>
      <w:pPr>
        <w:spacing w:line="440" w:lineRule="exact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第四部分：企业形象识别系统（CIS）与现场精细化管理</w:t>
      </w:r>
    </w:p>
    <w:p>
      <w:pPr>
        <w:numPr>
          <w:ilvl w:val="0"/>
          <w:numId w:val="3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什么是企业形象识别系统CIS</w:t>
      </w:r>
    </w:p>
    <w:p>
      <w:pPr>
        <w:numPr>
          <w:ilvl w:val="0"/>
          <w:numId w:val="3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CIS对企业的重要意义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◆ 案例分享：世界顶级企业的CIS实施及应用</w:t>
      </w:r>
    </w:p>
    <w:p>
      <w:pPr>
        <w:numPr>
          <w:ilvl w:val="0"/>
          <w:numId w:val="3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CIS的组成要素</w:t>
      </w:r>
    </w:p>
    <w:p>
      <w:pPr>
        <w:numPr>
          <w:ilvl w:val="0"/>
          <w:numId w:val="3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理念识别 - BI</w:t>
      </w:r>
    </w:p>
    <w:p>
      <w:pPr>
        <w:numPr>
          <w:ilvl w:val="0"/>
          <w:numId w:val="3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行为识别 - MI</w:t>
      </w:r>
    </w:p>
    <w:p>
      <w:pPr>
        <w:numPr>
          <w:ilvl w:val="0"/>
          <w:numId w:val="3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视觉识别</w:t>
      </w:r>
      <w:r>
        <w:rPr>
          <w:rFonts w:ascii="宋体" w:hAnsi="宋体"/>
          <w:color w:val="000000"/>
          <w:szCs w:val="21"/>
        </w:rPr>
        <w:t>–</w:t>
      </w:r>
      <w:r>
        <w:rPr>
          <w:rFonts w:hint="eastAsia" w:ascii="宋体" w:hAnsi="宋体"/>
          <w:color w:val="000000"/>
          <w:szCs w:val="21"/>
        </w:rPr>
        <w:t>VI</w:t>
      </w:r>
    </w:p>
    <w:p>
      <w:pPr>
        <w:numPr>
          <w:ilvl w:val="0"/>
          <w:numId w:val="3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5S与CIS</w:t>
      </w:r>
    </w:p>
    <w:p>
      <w:pPr>
        <w:numPr>
          <w:ilvl w:val="0"/>
          <w:numId w:val="3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CIS在现场可视化管理中的有效应用</w:t>
      </w:r>
    </w:p>
    <w:p>
      <w:pPr>
        <w:numPr>
          <w:ilvl w:val="0"/>
          <w:numId w:val="4"/>
        </w:num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案例分享：知名企业CIS在现场可视化管理中成功应用案例</w:t>
      </w:r>
    </w:p>
    <w:p>
      <w:pPr>
        <w:spacing w:line="440" w:lineRule="exact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第五部分：打造傻瓜式现场---现场可视化管理应用策划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1、工厂基本颜色应用标准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2、工厂线条应用标准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3、常用线条颜色宽度规格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4、空间地名编号导引规划标准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5、地面通道及导向规划应用标准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6、车间设备、电器规划应用标准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7、车间现场物品、材料规划应用标准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8、公共厂区安全警示的标准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9、办公区域安全警示的标准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10、车间现场安全警示的标准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◆ 案例分享：以上项目均结合实际应用图片案例进行解讲</w:t>
      </w:r>
    </w:p>
    <w:p>
      <w:pPr>
        <w:spacing w:line="440" w:lineRule="exact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第六部分：现场生产交期精细化管理</w:t>
      </w:r>
    </w:p>
    <w:p>
      <w:pPr>
        <w:numPr>
          <w:ilvl w:val="0"/>
          <w:numId w:val="5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生产作业控制技巧</w:t>
      </w:r>
    </w:p>
    <w:p>
      <w:pPr>
        <w:numPr>
          <w:ilvl w:val="0"/>
          <w:numId w:val="5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生产瓶颈的预防与解决</w:t>
      </w:r>
    </w:p>
    <w:p>
      <w:pPr>
        <w:numPr>
          <w:ilvl w:val="0"/>
          <w:numId w:val="5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交货期管理的必要性</w:t>
      </w:r>
    </w:p>
    <w:p>
      <w:pPr>
        <w:numPr>
          <w:ilvl w:val="0"/>
          <w:numId w:val="5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缩短交货期的方法</w:t>
      </w:r>
    </w:p>
    <w:p>
      <w:pPr>
        <w:numPr>
          <w:ilvl w:val="0"/>
          <w:numId w:val="5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交货期延误的对策</w:t>
      </w:r>
    </w:p>
    <w:p>
      <w:pPr>
        <w:numPr>
          <w:ilvl w:val="0"/>
          <w:numId w:val="5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如何活用生产进度跟踪表</w:t>
      </w:r>
    </w:p>
    <w:p>
      <w:pPr>
        <w:numPr>
          <w:ilvl w:val="0"/>
          <w:numId w:val="5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交期延误报告书的应用</w:t>
      </w:r>
    </w:p>
    <w:p>
      <w:pPr>
        <w:numPr>
          <w:ilvl w:val="0"/>
          <w:numId w:val="5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生产异常对策</w:t>
      </w:r>
    </w:p>
    <w:p>
      <w:pPr>
        <w:numPr>
          <w:ilvl w:val="0"/>
          <w:numId w:val="5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生产异常产生原因及判定手段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10、生产异常报告单的应用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◆ 案例分享：知名企业生产异常处理解析</w:t>
      </w:r>
    </w:p>
    <w:p>
      <w:pPr>
        <w:spacing w:line="440" w:lineRule="exact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第七部分：现场物料精细化管理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1、现场物料领用的管理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2、退料补货的控制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3、物料超领的控制技巧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  </w:t>
      </w:r>
      <w:r>
        <w:rPr>
          <w:rFonts w:hint="eastAsia" w:ascii="宋体" w:hAnsi="宋体"/>
          <w:color w:val="0000FF"/>
          <w:szCs w:val="21"/>
        </w:rPr>
        <w:t xml:space="preserve">◆ 实用工具：物料申领表 - 发料单 </w:t>
      </w:r>
      <w:r>
        <w:rPr>
          <w:rFonts w:ascii="宋体" w:hAnsi="宋体"/>
          <w:color w:val="0000FF"/>
          <w:szCs w:val="21"/>
        </w:rPr>
        <w:t>–</w:t>
      </w:r>
      <w:r>
        <w:rPr>
          <w:rFonts w:hint="eastAsia" w:ascii="宋体" w:hAnsi="宋体"/>
          <w:color w:val="0000FF"/>
          <w:szCs w:val="21"/>
        </w:rPr>
        <w:t xml:space="preserve"> 物料超领单 </w:t>
      </w:r>
      <w:r>
        <w:rPr>
          <w:rFonts w:ascii="宋体" w:hAnsi="宋体"/>
          <w:color w:val="0000FF"/>
          <w:szCs w:val="21"/>
        </w:rPr>
        <w:t>–</w:t>
      </w:r>
      <w:r>
        <w:rPr>
          <w:rFonts w:hint="eastAsia" w:ascii="宋体" w:hAnsi="宋体"/>
          <w:color w:val="0000FF"/>
          <w:szCs w:val="21"/>
        </w:rPr>
        <w:t xml:space="preserve"> 退料单 </w:t>
      </w:r>
      <w:r>
        <w:rPr>
          <w:rFonts w:ascii="宋体" w:hAnsi="宋体"/>
          <w:color w:val="0000FF"/>
          <w:szCs w:val="21"/>
        </w:rPr>
        <w:t>–</w:t>
      </w:r>
      <w:r>
        <w:rPr>
          <w:rFonts w:hint="eastAsia" w:ascii="宋体" w:hAnsi="宋体"/>
          <w:color w:val="0000FF"/>
          <w:szCs w:val="21"/>
        </w:rPr>
        <w:t xml:space="preserve"> 补料单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4、物料搬运控制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5、现场物料的使用管理技巧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  </w:t>
      </w:r>
      <w:r>
        <w:rPr>
          <w:rFonts w:hint="eastAsia" w:ascii="宋体" w:hAnsi="宋体"/>
          <w:color w:val="0000FF"/>
          <w:szCs w:val="21"/>
        </w:rPr>
        <w:t xml:space="preserve">◆ 实用工具：材料去向一览表 </w:t>
      </w:r>
      <w:r>
        <w:rPr>
          <w:rFonts w:ascii="宋体" w:hAnsi="宋体"/>
          <w:color w:val="0000FF"/>
          <w:szCs w:val="21"/>
        </w:rPr>
        <w:t>–</w:t>
      </w:r>
      <w:r>
        <w:rPr>
          <w:rFonts w:hint="eastAsia" w:ascii="宋体" w:hAnsi="宋体"/>
          <w:color w:val="0000FF"/>
          <w:szCs w:val="21"/>
        </w:rPr>
        <w:t xml:space="preserve"> 材料移动表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6、现场呆废料的划分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7、呆废料的预防与处理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9、现场半成品的管理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10、现场良品、不良品管理技巧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11、生产现场物料盘点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  </w:t>
      </w:r>
      <w:r>
        <w:rPr>
          <w:rFonts w:hint="eastAsia" w:ascii="宋体" w:hAnsi="宋体"/>
          <w:color w:val="0000FF"/>
          <w:szCs w:val="21"/>
        </w:rPr>
        <w:t>◆ 案例解析：以上实用工具均配合实际应用案例解讲</w:t>
      </w:r>
    </w:p>
    <w:p>
      <w:pPr>
        <w:spacing w:line="440" w:lineRule="exact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第八部分：现场质量精细化管理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1、现场工艺纪律管理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  </w:t>
      </w:r>
      <w:r>
        <w:rPr>
          <w:rFonts w:hint="eastAsia" w:ascii="宋体" w:hAnsi="宋体"/>
          <w:color w:val="0000FF"/>
          <w:szCs w:val="21"/>
        </w:rPr>
        <w:t>◆ 实用工具：工艺纪律检查评分记录表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2、现场工序质量控制点的设置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3、工序质量控制方法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4、工序因素控制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5、生产制程质量检验控制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6、不合格品的处理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7、现场不良品的精细化控制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8、不良品产生原因及对策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9、工序不良品的处理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10、不良品的标识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11、不良品的隔离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   </w:t>
      </w:r>
      <w:r>
        <w:rPr>
          <w:rFonts w:hint="eastAsia" w:ascii="宋体" w:hAnsi="宋体"/>
          <w:color w:val="0000FF"/>
          <w:szCs w:val="21"/>
        </w:rPr>
        <w:t xml:space="preserve">◆ 实用工具：不良品清退一览表 </w:t>
      </w:r>
      <w:r>
        <w:rPr>
          <w:rFonts w:ascii="宋体" w:hAnsi="宋体"/>
          <w:color w:val="0000FF"/>
          <w:szCs w:val="21"/>
        </w:rPr>
        <w:t>–</w:t>
      </w:r>
      <w:r>
        <w:rPr>
          <w:rFonts w:hint="eastAsia" w:ascii="宋体" w:hAnsi="宋体"/>
          <w:color w:val="0000FF"/>
          <w:szCs w:val="21"/>
        </w:rPr>
        <w:t xml:space="preserve"> 不良品清退明细表 </w:t>
      </w:r>
      <w:r>
        <w:rPr>
          <w:rFonts w:ascii="宋体" w:hAnsi="宋体"/>
          <w:color w:val="0000FF"/>
          <w:szCs w:val="21"/>
        </w:rPr>
        <w:t>–</w:t>
      </w:r>
      <w:r>
        <w:rPr>
          <w:rFonts w:hint="eastAsia" w:ascii="宋体" w:hAnsi="宋体"/>
          <w:color w:val="0000FF"/>
          <w:szCs w:val="21"/>
        </w:rPr>
        <w:t xml:space="preserve"> 不良品维修处理记录表</w:t>
      </w:r>
    </w:p>
    <w:p>
      <w:pPr>
        <w:spacing w:line="440" w:lineRule="exact"/>
        <w:ind w:firstLine="420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◆ 案例解析：以上实用工具均配合实际应用案例解讲</w:t>
      </w:r>
    </w:p>
    <w:p>
      <w:pPr>
        <w:spacing w:line="440" w:lineRule="exact"/>
        <w:ind w:firstLine="420"/>
        <w:rPr>
          <w:rFonts w:hint="eastAsia" w:ascii="宋体" w:hAnsi="宋体"/>
          <w:color w:val="0000FF"/>
          <w:szCs w:val="21"/>
        </w:rPr>
      </w:pP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b/>
          <w:color w:val="0000FF"/>
          <w:sz w:val="24"/>
        </w:rPr>
        <w:t>四、授课方式：</w:t>
      </w:r>
      <w:r>
        <w:rPr>
          <w:rFonts w:hint="eastAsia" w:ascii="宋体" w:hAnsi="宋体"/>
          <w:color w:val="000000"/>
          <w:szCs w:val="21"/>
        </w:rPr>
        <w:t>理论讲解 ＋ 视频赏析 ＋ 图片案例分享 ＋ 体验式互动+ 实际操作演练 + 问题答疑</w:t>
      </w:r>
    </w:p>
    <w:p>
      <w:pPr>
        <w:spacing w:line="440" w:lineRule="exact"/>
        <w:rPr>
          <w:rFonts w:hint="eastAsia" w:ascii="宋体" w:hAnsi="宋体"/>
          <w:b/>
          <w:color w:val="0000FF"/>
          <w:sz w:val="24"/>
        </w:rPr>
      </w:pPr>
    </w:p>
    <w:p>
      <w:pPr>
        <w:spacing w:line="440" w:lineRule="exact"/>
        <w:rPr>
          <w:rFonts w:hint="eastAsia" w:ascii="宋体" w:hAnsi="宋体"/>
          <w:b/>
          <w:color w:val="0000FF"/>
          <w:sz w:val="24"/>
        </w:rPr>
      </w:pPr>
      <w:r>
        <w:rPr>
          <w:rFonts w:hint="eastAsia" w:ascii="宋体" w:hAnsi="宋体"/>
          <w:b/>
          <w:color w:val="0000FF"/>
          <w:sz w:val="24"/>
        </w:rPr>
        <w:t>五、讲师介绍</w:t>
      </w:r>
    </w:p>
    <w:p>
      <w:pPr>
        <w:spacing w:line="440" w:lineRule="exact"/>
        <w:rPr>
          <w:rFonts w:hint="eastAsia" w:ascii="宋体" w:cs="宋体"/>
          <w:b/>
          <w:bCs/>
          <w:color w:val="0000FF"/>
          <w:kern w:val="0"/>
          <w:sz w:val="24"/>
        </w:rPr>
      </w:pPr>
      <w:r>
        <w:rPr>
          <w:rFonts w:hint="eastAsia" w:ascii="宋体" w:cs="宋体"/>
          <w:b/>
          <w:bCs/>
          <w:color w:val="0000FF"/>
          <w:kern w:val="0"/>
          <w:sz w:val="24"/>
        </w:rPr>
        <w:t>陈和生老师：</w:t>
      </w:r>
    </w:p>
    <w:p>
      <w:pPr>
        <w:widowControl/>
        <w:spacing w:line="440" w:lineRule="exact"/>
        <w:ind w:firstLine="420" w:firstLineChars="200"/>
        <w:rPr>
          <w:rFonts w:hint="eastAsia" w:ascii="宋体" w:cs="宋体"/>
          <w:bCs/>
          <w:color w:val="000000"/>
          <w:kern w:val="0"/>
          <w:szCs w:val="21"/>
        </w:rPr>
      </w:pPr>
      <w:r>
        <w:rPr>
          <w:rFonts w:hint="eastAsia" w:ascii="宋体" w:cs="宋体"/>
          <w:bCs/>
          <w:color w:val="000000"/>
          <w:kern w:val="0"/>
          <w:szCs w:val="21"/>
        </w:rPr>
        <w:t>上海思坡特企业管理顾问有限公司高级培训师、咨询师，制造型企业生产与品质管理专家。曾长期于财富500强企业任职，历任生产主管（经理）、品质主管（经理）、生产总监、管理者代表、副总经理等中高级职务。工作面涵及供应链（供应商、物料、仓储）、生产管理（计划、生产、技术、IE）、质量管理（TQM、SPC、标准化、体系）等企业管理的各主要职能模板，涉及行业包括：机械加工制造、电子电器、汽车零部件等，具有丰富的制造型企业生产运作管理实战经验。</w:t>
      </w:r>
    </w:p>
    <w:p>
      <w:pPr>
        <w:widowControl/>
        <w:spacing w:line="440" w:lineRule="exact"/>
        <w:ind w:firstLine="420" w:firstLineChars="200"/>
        <w:rPr>
          <w:rFonts w:hint="eastAsia" w:ascii="宋体" w:cs="宋体"/>
          <w:bCs/>
          <w:color w:val="000000"/>
          <w:kern w:val="0"/>
          <w:szCs w:val="21"/>
        </w:rPr>
      </w:pPr>
      <w:r>
        <w:rPr>
          <w:rFonts w:hint="eastAsia" w:ascii="宋体" w:cs="宋体"/>
          <w:bCs/>
          <w:color w:val="000000"/>
          <w:kern w:val="0"/>
          <w:szCs w:val="21"/>
        </w:rPr>
        <w:t>陈老师极度推荐精细化管理理念，痛恨差不多思想及行为，是现场精细化管理的忠实信徒，奉行“管理应从现场来，到现场中去”原则，立志于不断探索精细化管理的精髓并与广大企业管理者分享，以助企业不断提高综合管理水平，实现企业的良性经营。</w:t>
      </w:r>
    </w:p>
    <w:p>
      <w:pPr>
        <w:widowControl/>
        <w:spacing w:line="440" w:lineRule="exact"/>
        <w:rPr>
          <w:rFonts w:hint="eastAsia" w:ascii="宋体" w:hAnsi="宋体" w:cs="宋体"/>
          <w:bCs/>
          <w:color w:val="0000FF"/>
          <w:kern w:val="0"/>
          <w:szCs w:val="21"/>
        </w:rPr>
      </w:pPr>
      <w:r>
        <w:rPr>
          <w:rFonts w:hint="eastAsia" w:ascii="宋体" w:cs="宋体"/>
          <w:b/>
          <w:bCs/>
          <w:color w:val="0000FF"/>
          <w:kern w:val="0"/>
          <w:szCs w:val="21"/>
        </w:rPr>
        <w:t>■ 研发课题方向</w:t>
      </w:r>
      <w:r>
        <w:rPr>
          <w:rFonts w:hint="eastAsia" w:ascii="宋体" w:cs="宋体"/>
          <w:bCs/>
          <w:color w:val="0000FF"/>
          <w:kern w:val="0"/>
          <w:szCs w:val="21"/>
        </w:rPr>
        <w:t>：</w:t>
      </w:r>
    </w:p>
    <w:p>
      <w:pPr>
        <w:widowControl/>
        <w:numPr>
          <w:ilvl w:val="0"/>
          <w:numId w:val="6"/>
        </w:numPr>
        <w:spacing w:line="440" w:lineRule="exact"/>
        <w:rPr>
          <w:rFonts w:hint="eastAsia" w:ascii="宋体" w:cs="宋体"/>
          <w:bCs/>
          <w:color w:val="000000"/>
          <w:kern w:val="0"/>
          <w:szCs w:val="21"/>
        </w:rPr>
      </w:pPr>
      <w:r>
        <w:rPr>
          <w:rFonts w:hint="eastAsia" w:ascii="宋体" w:cs="宋体"/>
          <w:bCs/>
          <w:color w:val="000000"/>
          <w:kern w:val="0"/>
          <w:szCs w:val="21"/>
        </w:rPr>
        <w:t>生产管理实务：生产车间管理、现场精细化管理、现场5S/6S管理、现场可视化管理等；</w:t>
      </w:r>
    </w:p>
    <w:p>
      <w:pPr>
        <w:widowControl/>
        <w:numPr>
          <w:ilvl w:val="0"/>
          <w:numId w:val="6"/>
        </w:numPr>
        <w:spacing w:line="440" w:lineRule="exact"/>
        <w:rPr>
          <w:rFonts w:hint="eastAsia" w:ascii="宋体" w:cs="宋体"/>
          <w:bCs/>
          <w:color w:val="000000"/>
          <w:kern w:val="0"/>
          <w:szCs w:val="21"/>
        </w:rPr>
      </w:pPr>
      <w:r>
        <w:rPr>
          <w:rFonts w:hint="eastAsia" w:ascii="宋体" w:cs="宋体"/>
          <w:bCs/>
          <w:color w:val="000000"/>
          <w:kern w:val="0"/>
          <w:szCs w:val="21"/>
        </w:rPr>
        <w:t>生产管理技术：工业工程（IE）应用、全员生产保全（TPM）、精益生产（LP）；</w:t>
      </w:r>
    </w:p>
    <w:p>
      <w:pPr>
        <w:widowControl/>
        <w:numPr>
          <w:ilvl w:val="0"/>
          <w:numId w:val="6"/>
        </w:numPr>
        <w:spacing w:line="440" w:lineRule="exact"/>
        <w:rPr>
          <w:rFonts w:hint="eastAsia" w:ascii="宋体" w:cs="宋体"/>
          <w:bCs/>
          <w:color w:val="000000"/>
          <w:kern w:val="0"/>
          <w:szCs w:val="21"/>
        </w:rPr>
      </w:pPr>
      <w:r>
        <w:rPr>
          <w:rFonts w:hint="eastAsia" w:ascii="宋体" w:cs="宋体"/>
          <w:bCs/>
          <w:color w:val="000000"/>
          <w:kern w:val="0"/>
          <w:szCs w:val="21"/>
        </w:rPr>
        <w:t>质量管理实务：全面质量管理（TQM）、SPC、FMEA、DOE、8D、QC手法、QCC等；</w:t>
      </w:r>
    </w:p>
    <w:p>
      <w:pPr>
        <w:widowControl/>
        <w:numPr>
          <w:ilvl w:val="0"/>
          <w:numId w:val="6"/>
        </w:numPr>
        <w:spacing w:line="440" w:lineRule="exact"/>
        <w:rPr>
          <w:rFonts w:hint="eastAsia" w:ascii="宋体" w:cs="宋体"/>
          <w:bCs/>
          <w:color w:val="000000"/>
          <w:kern w:val="0"/>
          <w:szCs w:val="21"/>
        </w:rPr>
      </w:pPr>
      <w:r>
        <w:rPr>
          <w:rFonts w:hint="eastAsia" w:ascii="宋体" w:cs="宋体"/>
          <w:bCs/>
          <w:color w:val="000000"/>
          <w:kern w:val="0"/>
          <w:szCs w:val="21"/>
        </w:rPr>
        <w:t>综合管理：基层班组管理、班组长能力塑造、班组建设、TWI、中层管理者能力提升等。</w:t>
      </w:r>
    </w:p>
    <w:p>
      <w:pPr>
        <w:widowControl/>
        <w:spacing w:line="440" w:lineRule="exact"/>
        <w:ind w:firstLine="735" w:firstLineChars="350"/>
        <w:rPr>
          <w:rFonts w:hint="eastAsia" w:ascii="宋体" w:cs="宋体"/>
          <w:bCs/>
          <w:color w:val="0000FF"/>
          <w:kern w:val="0"/>
          <w:szCs w:val="21"/>
        </w:rPr>
      </w:pPr>
      <w:r>
        <w:rPr>
          <w:rFonts w:hint="eastAsia" w:ascii="宋体" w:cs="宋体"/>
          <w:bCs/>
          <w:color w:val="0000FF"/>
          <w:kern w:val="0"/>
          <w:szCs w:val="21"/>
        </w:rPr>
        <w:t>曾主编出版《制造业6S成功之路》等著作。</w:t>
      </w:r>
    </w:p>
    <w:p>
      <w:pPr>
        <w:widowControl/>
        <w:spacing w:line="440" w:lineRule="exact"/>
        <w:ind w:firstLine="735" w:firstLineChars="350"/>
        <w:rPr>
          <w:rFonts w:hint="eastAsia" w:ascii="宋体" w:cs="宋体"/>
          <w:bCs/>
          <w:color w:val="000000"/>
          <w:kern w:val="0"/>
          <w:szCs w:val="21"/>
        </w:rPr>
      </w:pPr>
      <w:r>
        <w:rPr>
          <w:rFonts w:hint="eastAsia" w:ascii="宋体" w:cs="宋体"/>
          <w:bCs/>
          <w:color w:val="000000"/>
          <w:kern w:val="0"/>
          <w:szCs w:val="21"/>
        </w:rPr>
        <w:t>经数百场授课经历的历炼，授课风格沉稳、风趣幽默、案例丰富，互动性强，深受学员好评。</w:t>
      </w:r>
    </w:p>
    <w:p>
      <w:pPr>
        <w:widowControl/>
        <w:numPr>
          <w:ilvl w:val="0"/>
          <w:numId w:val="7"/>
        </w:numPr>
        <w:spacing w:line="440" w:lineRule="exact"/>
        <w:rPr>
          <w:rFonts w:hint="eastAsia" w:ascii="宋体" w:cs="宋体"/>
          <w:bCs/>
          <w:color w:val="0000FF"/>
          <w:kern w:val="0"/>
          <w:szCs w:val="21"/>
        </w:rPr>
      </w:pPr>
      <w:r>
        <w:rPr>
          <w:rFonts w:hint="eastAsia" w:ascii="宋体" w:cs="宋体"/>
          <w:b/>
          <w:bCs/>
          <w:color w:val="0000FF"/>
          <w:kern w:val="0"/>
          <w:szCs w:val="21"/>
        </w:rPr>
        <w:t>咨询辅导专长</w:t>
      </w:r>
      <w:r>
        <w:rPr>
          <w:rFonts w:hint="eastAsia" w:ascii="宋体" w:cs="宋体"/>
          <w:bCs/>
          <w:color w:val="0000FF"/>
          <w:kern w:val="0"/>
          <w:szCs w:val="21"/>
        </w:rPr>
        <w:t>：</w:t>
      </w:r>
    </w:p>
    <w:p>
      <w:pPr>
        <w:widowControl/>
        <w:spacing w:line="440" w:lineRule="exact"/>
        <w:ind w:left="360"/>
        <w:rPr>
          <w:rFonts w:hint="eastAsia" w:ascii="宋体" w:cs="宋体"/>
          <w:bCs/>
          <w:color w:val="000000"/>
          <w:kern w:val="0"/>
          <w:szCs w:val="21"/>
        </w:rPr>
      </w:pPr>
      <w:r>
        <w:rPr>
          <w:rFonts w:hint="eastAsia" w:ascii="宋体" w:cs="宋体"/>
          <w:bCs/>
          <w:color w:val="000000"/>
          <w:kern w:val="0"/>
          <w:szCs w:val="21"/>
        </w:rPr>
        <w:t>1、制造型企业5S/6S现场精细化管理咨询辅导；</w:t>
      </w:r>
    </w:p>
    <w:p>
      <w:pPr>
        <w:widowControl/>
        <w:spacing w:line="440" w:lineRule="exact"/>
        <w:ind w:left="360"/>
        <w:rPr>
          <w:rFonts w:hint="eastAsia" w:ascii="宋体" w:cs="宋体"/>
          <w:bCs/>
          <w:color w:val="000000"/>
          <w:kern w:val="0"/>
          <w:szCs w:val="21"/>
        </w:rPr>
      </w:pPr>
      <w:r>
        <w:rPr>
          <w:rFonts w:hint="eastAsia" w:ascii="宋体" w:cs="宋体"/>
          <w:bCs/>
          <w:color w:val="000000"/>
          <w:kern w:val="0"/>
          <w:szCs w:val="21"/>
        </w:rPr>
        <w:t>2、服务企企业5S/6S现场精细化管理咨询辅导；</w:t>
      </w:r>
    </w:p>
    <w:p>
      <w:pPr>
        <w:widowControl/>
        <w:spacing w:line="440" w:lineRule="exact"/>
        <w:ind w:left="360"/>
        <w:rPr>
          <w:rFonts w:hint="eastAsia" w:ascii="宋体" w:cs="宋体"/>
          <w:bCs/>
          <w:color w:val="000000"/>
          <w:kern w:val="0"/>
          <w:szCs w:val="21"/>
        </w:rPr>
      </w:pPr>
      <w:r>
        <w:rPr>
          <w:rFonts w:hint="eastAsia" w:ascii="宋体" w:cs="宋体"/>
          <w:bCs/>
          <w:color w:val="000000"/>
          <w:kern w:val="0"/>
          <w:szCs w:val="21"/>
        </w:rPr>
        <w:t>3、5S/6S现场精细化管理＆CIS企业形象识别系统咨询辅导；</w:t>
      </w:r>
    </w:p>
    <w:p>
      <w:pPr>
        <w:widowControl/>
        <w:spacing w:line="440" w:lineRule="exact"/>
        <w:ind w:left="360"/>
        <w:rPr>
          <w:rFonts w:hint="eastAsia" w:ascii="宋体" w:cs="宋体"/>
          <w:bCs/>
          <w:color w:val="000000"/>
          <w:kern w:val="0"/>
          <w:szCs w:val="21"/>
        </w:rPr>
      </w:pPr>
      <w:r>
        <w:rPr>
          <w:rFonts w:hint="eastAsia" w:ascii="宋体" w:cs="宋体"/>
          <w:bCs/>
          <w:color w:val="000000"/>
          <w:kern w:val="0"/>
          <w:szCs w:val="21"/>
        </w:rPr>
        <w:t>4、班组建设（TWI）咨询辅导；</w:t>
      </w:r>
    </w:p>
    <w:p>
      <w:pPr>
        <w:widowControl/>
        <w:spacing w:line="440" w:lineRule="exact"/>
        <w:ind w:left="360"/>
        <w:rPr>
          <w:rFonts w:hint="eastAsia" w:ascii="宋体" w:cs="宋体"/>
          <w:bCs/>
          <w:color w:val="000000"/>
          <w:kern w:val="0"/>
          <w:szCs w:val="21"/>
        </w:rPr>
      </w:pPr>
      <w:r>
        <w:rPr>
          <w:rFonts w:hint="eastAsia" w:ascii="宋体" w:cs="宋体"/>
          <w:bCs/>
          <w:color w:val="000000"/>
          <w:kern w:val="0"/>
          <w:szCs w:val="21"/>
        </w:rPr>
        <w:t>5、TQM（SPC、QCC等）咨询辅导。</w:t>
      </w:r>
    </w:p>
    <w:p>
      <w:pPr>
        <w:widowControl/>
        <w:spacing w:line="440" w:lineRule="exact"/>
        <w:ind w:firstLine="420" w:firstLineChars="200"/>
        <w:rPr>
          <w:rFonts w:hint="eastAsia" w:ascii="宋体" w:hAnsi="宋体" w:cs="宋体"/>
          <w:bCs/>
          <w:color w:val="000000"/>
          <w:kern w:val="0"/>
          <w:szCs w:val="21"/>
        </w:rPr>
      </w:pPr>
      <w:r>
        <w:rPr>
          <w:rFonts w:hint="eastAsia" w:ascii="宋体" w:cs="宋体"/>
          <w:bCs/>
          <w:color w:val="000000"/>
          <w:kern w:val="0"/>
          <w:szCs w:val="21"/>
        </w:rPr>
        <w:t>曾为企业提供实务咨询辅导，取得显著成效，理论及专业基础扎实，实战经验丰富，沟通和协调能力强，深受服务客户一致好评。</w:t>
      </w:r>
    </w:p>
    <w:p>
      <w:pPr>
        <w:numPr>
          <w:ilvl w:val="0"/>
          <w:numId w:val="7"/>
        </w:numPr>
        <w:spacing w:line="440" w:lineRule="exact"/>
        <w:rPr>
          <w:rFonts w:hint="eastAsia"/>
          <w:b/>
          <w:color w:val="0000FF"/>
        </w:rPr>
      </w:pPr>
      <w:r>
        <w:rPr>
          <w:rFonts w:hint="eastAsia"/>
          <w:b/>
          <w:color w:val="0000FF"/>
        </w:rPr>
        <w:t>代表客户：</w:t>
      </w:r>
    </w:p>
    <w:p>
      <w:pPr>
        <w:spacing w:line="440" w:lineRule="exact"/>
        <w:ind w:firstLine="308" w:firstLineChars="147"/>
        <w:rPr>
          <w:rFonts w:hint="eastAsia"/>
          <w:b/>
          <w:color w:val="0000FF"/>
        </w:rPr>
      </w:pPr>
      <w:r>
        <w:rPr>
          <w:rFonts w:hint="eastAsia"/>
        </w:rPr>
        <w:t>大众、三菱、百事可乐、三得利、上海伊利、苏州YKK AP、上海电气、上海花王、拜耳医药、盾安集团、</w:t>
      </w:r>
      <w:r>
        <w:rPr>
          <w:rFonts w:hint="eastAsia" w:ascii="宋体" w:cs="宋体"/>
          <w:bCs/>
          <w:color w:val="000000"/>
          <w:kern w:val="0"/>
        </w:rPr>
        <w:t>华新集团、</w:t>
      </w:r>
      <w:r>
        <w:rPr>
          <w:rFonts w:hint="eastAsia"/>
        </w:rPr>
        <w:t>沈阳龙士达集团、普茨迈斯特机械、宁波三菱化工、蒂森克虏伯、库博汽车、上海紫光机械、昆山电力局、昆山富曜精密组件、苏州裕廊科技、苏州吉田建材、江苏</w:t>
      </w:r>
      <w:r>
        <w:rPr>
          <w:rFonts w:hint="eastAsia" w:ascii="宋体" w:cs="宋体"/>
          <w:bCs/>
          <w:color w:val="000000"/>
          <w:kern w:val="0"/>
        </w:rPr>
        <w:t>青尼罗河机械、南京晨光集团、上海金亭汽车线束、上海伟钊光学、张家港卢森宝铜箔、阿特拉斯.科普柯、</w:t>
      </w:r>
      <w:r>
        <w:rPr>
          <w:rFonts w:hint="eastAsia"/>
        </w:rPr>
        <w:t>上海友发铝业、上海壹墨图文、上海神汇汽车、富士迈半导体、吴江汉阳半导体、上海绍矿磁性材料、日星电气、浙江林肯电梯、杭州南方净化设备、百超玻璃设备、苏州新协力、吴江汉阳半导体、富田电机、上海维科精密模塑、上海埃比西斯机械、神马集团、</w:t>
      </w:r>
      <w:r>
        <w:rPr>
          <w:rFonts w:hint="eastAsia" w:ascii="宋体" w:cs="宋体"/>
          <w:bCs/>
          <w:color w:val="000000"/>
          <w:kern w:val="0"/>
        </w:rPr>
        <w:t>来宾电厂、</w:t>
      </w:r>
      <w:r>
        <w:rPr>
          <w:rFonts w:hint="eastAsia"/>
        </w:rPr>
        <w:t>致君药业、济明药业、</w:t>
      </w:r>
      <w:r>
        <w:rPr>
          <w:rFonts w:hint="eastAsia" w:ascii="宋体" w:cs="宋体"/>
          <w:bCs/>
          <w:color w:val="000000"/>
          <w:kern w:val="0"/>
        </w:rPr>
        <w:t>平顶山神马工程塑料、浙江华邦特纸、安徽华邦特纸、浙江三峰实业、杭州杭联热电、杭州正大纺织、上海艺科注塑、</w:t>
      </w:r>
      <w:r>
        <w:t>……</w:t>
      </w:r>
      <w:r>
        <w:rPr>
          <w:rFonts w:hint="eastAsia"/>
        </w:rPr>
        <w:t>..</w:t>
      </w:r>
    </w:p>
    <w:sectPr>
      <w:pgSz w:w="11906" w:h="16838"/>
      <w:pgMar w:top="0" w:right="926" w:bottom="19" w:left="900" w:header="468" w:footer="45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087EA4"/>
    <w:multiLevelType w:val="multilevel"/>
    <w:tmpl w:val="06087EA4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E542C79"/>
    <w:multiLevelType w:val="multilevel"/>
    <w:tmpl w:val="1E542C79"/>
    <w:lvl w:ilvl="0" w:tentative="0">
      <w:start w:val="6"/>
      <w:numFmt w:val="bullet"/>
      <w:lvlText w:val="◆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2">
    <w:nsid w:val="360D3DCB"/>
    <w:multiLevelType w:val="multilevel"/>
    <w:tmpl w:val="360D3DC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4919176E"/>
    <w:multiLevelType w:val="multilevel"/>
    <w:tmpl w:val="4919176E"/>
    <w:lvl w:ilvl="0" w:tentative="0">
      <w:start w:val="2"/>
      <w:numFmt w:val="bullet"/>
      <w:lvlText w:val="■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宋体"/>
        <w:b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4">
    <w:nsid w:val="49A04069"/>
    <w:multiLevelType w:val="multilevel"/>
    <w:tmpl w:val="49A04069"/>
    <w:lvl w:ilvl="0" w:tentative="0">
      <w:start w:val="1"/>
      <w:numFmt w:val="bullet"/>
      <w:lvlText w:val="◆"/>
      <w:lvlJc w:val="left"/>
      <w:pPr>
        <w:tabs>
          <w:tab w:val="left" w:pos="772"/>
        </w:tabs>
        <w:ind w:left="772" w:hanging="360"/>
      </w:pPr>
      <w:rPr>
        <w:rFonts w:hint="eastAsia" w:ascii="宋体" w:hAnsi="宋体" w:eastAsia="宋体" w:cs="宋体"/>
      </w:rPr>
    </w:lvl>
    <w:lvl w:ilvl="1" w:tentative="0">
      <w:start w:val="1"/>
      <w:numFmt w:val="bullet"/>
      <w:lvlText w:val=""/>
      <w:lvlJc w:val="left"/>
      <w:pPr>
        <w:tabs>
          <w:tab w:val="left" w:pos="1252"/>
        </w:tabs>
        <w:ind w:left="125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72"/>
        </w:tabs>
        <w:ind w:left="167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092"/>
        </w:tabs>
        <w:ind w:left="209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12"/>
        </w:tabs>
        <w:ind w:left="251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32"/>
        </w:tabs>
        <w:ind w:left="293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52"/>
        </w:tabs>
        <w:ind w:left="335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72"/>
        </w:tabs>
        <w:ind w:left="377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192"/>
        </w:tabs>
        <w:ind w:left="4192" w:hanging="420"/>
      </w:pPr>
      <w:rPr>
        <w:rFonts w:hint="default" w:ascii="Wingdings" w:hAnsi="Wingdings"/>
      </w:rPr>
    </w:lvl>
  </w:abstractNum>
  <w:abstractNum w:abstractNumId="5">
    <w:nsid w:val="4CFA5BC8"/>
    <w:multiLevelType w:val="multilevel"/>
    <w:tmpl w:val="4CFA5BC8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5E181AE0"/>
    <w:multiLevelType w:val="multilevel"/>
    <w:tmpl w:val="5E181AE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6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mMTNlNmNiYThmYmFhNTE3ZjQyMmUzNzU2NDdhMWYifQ=="/>
  </w:docVars>
  <w:rsids>
    <w:rsidRoot w:val="008E48A5"/>
    <w:rsid w:val="00053870"/>
    <w:rsid w:val="00076629"/>
    <w:rsid w:val="001223E0"/>
    <w:rsid w:val="001303EB"/>
    <w:rsid w:val="00136F5C"/>
    <w:rsid w:val="0018055A"/>
    <w:rsid w:val="00185B4A"/>
    <w:rsid w:val="00186EA8"/>
    <w:rsid w:val="001E311B"/>
    <w:rsid w:val="0022079B"/>
    <w:rsid w:val="00237D1A"/>
    <w:rsid w:val="0026416A"/>
    <w:rsid w:val="002B02B4"/>
    <w:rsid w:val="002D58E5"/>
    <w:rsid w:val="002E1296"/>
    <w:rsid w:val="003509A8"/>
    <w:rsid w:val="00376EA6"/>
    <w:rsid w:val="003B468C"/>
    <w:rsid w:val="003F1DBF"/>
    <w:rsid w:val="0041215A"/>
    <w:rsid w:val="00522B97"/>
    <w:rsid w:val="00563C99"/>
    <w:rsid w:val="00582657"/>
    <w:rsid w:val="005F261F"/>
    <w:rsid w:val="00657233"/>
    <w:rsid w:val="0066096E"/>
    <w:rsid w:val="006B59DF"/>
    <w:rsid w:val="006D18F2"/>
    <w:rsid w:val="006D7B42"/>
    <w:rsid w:val="00712553"/>
    <w:rsid w:val="007A1D94"/>
    <w:rsid w:val="007C0EC6"/>
    <w:rsid w:val="007D23C6"/>
    <w:rsid w:val="007D4583"/>
    <w:rsid w:val="00816A15"/>
    <w:rsid w:val="00820E15"/>
    <w:rsid w:val="00836894"/>
    <w:rsid w:val="00872BA9"/>
    <w:rsid w:val="0088731A"/>
    <w:rsid w:val="008C0913"/>
    <w:rsid w:val="008C7F15"/>
    <w:rsid w:val="008E48A5"/>
    <w:rsid w:val="008E7722"/>
    <w:rsid w:val="008F02BC"/>
    <w:rsid w:val="0098772F"/>
    <w:rsid w:val="00995927"/>
    <w:rsid w:val="009B220B"/>
    <w:rsid w:val="009D72D2"/>
    <w:rsid w:val="009F3B85"/>
    <w:rsid w:val="009F7B57"/>
    <w:rsid w:val="00A03266"/>
    <w:rsid w:val="00A06E81"/>
    <w:rsid w:val="00A301C2"/>
    <w:rsid w:val="00A3091B"/>
    <w:rsid w:val="00A339DC"/>
    <w:rsid w:val="00A36FCD"/>
    <w:rsid w:val="00A514BF"/>
    <w:rsid w:val="00A57705"/>
    <w:rsid w:val="00A9006E"/>
    <w:rsid w:val="00AE6ACD"/>
    <w:rsid w:val="00B05C66"/>
    <w:rsid w:val="00B339E6"/>
    <w:rsid w:val="00B61BBF"/>
    <w:rsid w:val="00B76177"/>
    <w:rsid w:val="00BE79A7"/>
    <w:rsid w:val="00C0110C"/>
    <w:rsid w:val="00C02228"/>
    <w:rsid w:val="00C02CC4"/>
    <w:rsid w:val="00C33EBB"/>
    <w:rsid w:val="00C37DFE"/>
    <w:rsid w:val="00C70CF2"/>
    <w:rsid w:val="00CA0173"/>
    <w:rsid w:val="00CA0235"/>
    <w:rsid w:val="00CB250E"/>
    <w:rsid w:val="00CD4798"/>
    <w:rsid w:val="00CD5A78"/>
    <w:rsid w:val="00CF6DCB"/>
    <w:rsid w:val="00D271D9"/>
    <w:rsid w:val="00D51B22"/>
    <w:rsid w:val="00D53C2B"/>
    <w:rsid w:val="00D623B5"/>
    <w:rsid w:val="00D76A3E"/>
    <w:rsid w:val="00D80C03"/>
    <w:rsid w:val="00DB605E"/>
    <w:rsid w:val="00DD54D2"/>
    <w:rsid w:val="00DF035E"/>
    <w:rsid w:val="00DF08BF"/>
    <w:rsid w:val="00DF0AFA"/>
    <w:rsid w:val="00E36814"/>
    <w:rsid w:val="00E80FF9"/>
    <w:rsid w:val="00E86749"/>
    <w:rsid w:val="00EC2DA1"/>
    <w:rsid w:val="00EC64E2"/>
    <w:rsid w:val="00ED61D5"/>
    <w:rsid w:val="00EE2862"/>
    <w:rsid w:val="00EE46E7"/>
    <w:rsid w:val="00F05F79"/>
    <w:rsid w:val="00F15F05"/>
    <w:rsid w:val="00F242C6"/>
    <w:rsid w:val="00F321B9"/>
    <w:rsid w:val="00F77881"/>
    <w:rsid w:val="00F86284"/>
    <w:rsid w:val="00F95867"/>
    <w:rsid w:val="00FA3964"/>
    <w:rsid w:val="00FA631C"/>
    <w:rsid w:val="00FA6446"/>
    <w:rsid w:val="00FE2DFB"/>
    <w:rsid w:val="00FF4B52"/>
    <w:rsid w:val="2F9B0C6A"/>
    <w:rsid w:val="50C54129"/>
    <w:rsid w:val="621168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6">
    <w:name w:val="Normal (Web)"/>
    <w:basedOn w:val="1"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uiPriority w:val="0"/>
  </w:style>
  <w:style w:type="character" w:styleId="11">
    <w:name w:val="HTML Typewriter"/>
    <w:basedOn w:val="9"/>
    <w:uiPriority w:val="0"/>
    <w:rPr>
      <w:rFonts w:ascii="宋体" w:hAnsi="宋体" w:eastAsia="宋体" w:cs="宋体"/>
      <w:sz w:val="24"/>
      <w:szCs w:val="24"/>
    </w:rPr>
  </w:style>
  <w:style w:type="character" w:styleId="12">
    <w:name w:val="Hyperlink"/>
    <w:basedOn w:val="9"/>
    <w:uiPriority w:val="0"/>
    <w:rPr>
      <w:color w:val="0000FF"/>
      <w:u w:val="single"/>
    </w:rPr>
  </w:style>
  <w:style w:type="paragraph" w:styleId="13">
    <w:name w:val=""/>
    <w:basedOn w:val="1"/>
    <w:next w:val="1"/>
    <w:link w:val="14"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14">
    <w:name w:val="z-窗体底端 Char"/>
    <w:basedOn w:val="9"/>
    <w:link w:val="13"/>
    <w:uiPriority w:val="0"/>
    <w:rPr>
      <w:rFonts w:ascii="Arial" w:hAnsi="Arial" w:eastAsia="宋体" w:cs="Arial"/>
      <w:vanish/>
      <w:kern w:val="2"/>
      <w:sz w:val="16"/>
      <w:szCs w:val="16"/>
      <w:lang w:val="en-US" w:eastAsia="zh-CN" w:bidi="ar-SA"/>
    </w:rPr>
  </w:style>
  <w:style w:type="paragraph" w:styleId="15">
    <w:name w:val=""/>
    <w:basedOn w:val="1"/>
    <w:next w:val="1"/>
    <w:link w:val="16"/>
    <w:uiPriority w:val="0"/>
    <w:pPr>
      <w:pBdr>
        <w:bottom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16">
    <w:name w:val="z-窗体顶端 Char"/>
    <w:basedOn w:val="9"/>
    <w:link w:val="15"/>
    <w:uiPriority w:val="0"/>
    <w:rPr>
      <w:rFonts w:ascii="Arial" w:hAnsi="Arial" w:eastAsia="宋体" w:cs="Arial"/>
      <w:vanish/>
      <w:kern w:val="2"/>
      <w:sz w:val="16"/>
      <w:szCs w:val="16"/>
      <w:lang w:val="en-US" w:eastAsia="zh-CN" w:bidi="ar-SA"/>
    </w:rPr>
  </w:style>
  <w:style w:type="paragraph" w:customStyle="1" w:styleId="17">
    <w:name w:val=" 字元"/>
    <w:basedOn w:val="1"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2906</Words>
  <Characters>3011</Characters>
  <Lines>22</Lines>
  <Paragraphs>6</Paragraphs>
  <TotalTime>0</TotalTime>
  <ScaleCrop>false</ScaleCrop>
  <LinksUpToDate>false</LinksUpToDate>
  <CharactersWithSpaces>3081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2014-07-03T01:23:00Z</dcterms:created>
  <dc:creator>User</dc:creator>
  <cp:lastModifiedBy>蓉儿</cp:lastModifiedBy>
  <dcterms:modified xsi:type="dcterms:W3CDTF">2023-05-05T05:55:12Z</dcterms:modified>
  <dc:title>《 现场精细化管理实战 》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B298678657C74E00A099EECBE4E915A1_13</vt:lpwstr>
  </property>
</Properties>
</file>